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1053"/>
        <w:gridCol w:w="1053"/>
        <w:gridCol w:w="1054"/>
        <w:gridCol w:w="1053"/>
        <w:gridCol w:w="1054"/>
        <w:gridCol w:w="1053"/>
        <w:gridCol w:w="1054"/>
        <w:gridCol w:w="1053"/>
        <w:gridCol w:w="1054"/>
      </w:tblGrid>
      <w:tr w:rsidR="00C803D5" w:rsidRPr="00B2703A" w14:paraId="57C82FB8" w14:textId="77777777" w:rsidTr="002C4EE2">
        <w:trPr>
          <w:trHeight w:val="300"/>
          <w:tblHeader/>
        </w:trPr>
        <w:tc>
          <w:tcPr>
            <w:tcW w:w="5384" w:type="dxa"/>
            <w:shd w:val="clear" w:color="auto" w:fill="BFBFBF" w:themeFill="background1" w:themeFillShade="BF"/>
          </w:tcPr>
          <w:p w14:paraId="737C4E1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shd w:val="clear" w:color="auto" w:fill="BFBFBF" w:themeFill="background1" w:themeFillShade="BF"/>
          </w:tcPr>
          <w:p w14:paraId="7423E4AB" w14:textId="14C5B914" w:rsidR="00C803D5" w:rsidRPr="002C4EE2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Indicate </w:t>
            </w:r>
            <w:r w:rsidR="000546F2"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knowledge l</w:t>
            </w: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evel for </w:t>
            </w:r>
            <w:r w:rsidR="000546F2"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t</w:t>
            </w: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opics </w:t>
            </w:r>
            <w:r w:rsidR="000546F2"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c</w:t>
            </w: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overed </w:t>
            </w:r>
            <w:r w:rsidR="000546F2"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(as applicable) </w:t>
            </w: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in </w:t>
            </w:r>
            <w:r w:rsidR="000546F2"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e</w:t>
            </w: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ach </w:t>
            </w:r>
            <w:r w:rsidR="000546F2"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r</w:t>
            </w: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otation:</w:t>
            </w:r>
          </w:p>
          <w:p w14:paraId="15A1D758" w14:textId="2D5B1929" w:rsidR="00C803D5" w:rsidRPr="002C4EE2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>Novice (N):  Minimal, or “textbook” knowledge without connecti</w:t>
            </w:r>
            <w:r w:rsidR="00383EA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>on</w:t>
            </w: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 xml:space="preserve"> to practice</w:t>
            </w:r>
          </w:p>
          <w:p w14:paraId="07DA66A1" w14:textId="4F55B421" w:rsidR="00C803D5" w:rsidRPr="002C4EE2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 xml:space="preserve">Beginner (B):  </w:t>
            </w:r>
            <w:r w:rsidR="00383EA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>Basic w</w:t>
            </w: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 xml:space="preserve">orking knowledge </w:t>
            </w:r>
            <w:r w:rsidR="00383EA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 xml:space="preserve">with connection to some </w:t>
            </w: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>key aspects of practice</w:t>
            </w:r>
          </w:p>
          <w:p w14:paraId="131F9261" w14:textId="2F0372FD" w:rsidR="00C803D5" w:rsidRPr="002C4EE2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>Competent (C):  Good working and background</w:t>
            </w:r>
            <w:r w:rsidR="00AC0ABC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 xml:space="preserve"> understanding</w:t>
            </w: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 xml:space="preserve"> of </w:t>
            </w:r>
            <w:r w:rsidR="00383EA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 xml:space="preserve">topic and </w:t>
            </w: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>area of practice</w:t>
            </w:r>
          </w:p>
          <w:p w14:paraId="703BF1F1" w14:textId="6ECD1829" w:rsidR="00C803D5" w:rsidRPr="002C4EE2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>Proficient (P):  Depth of understanding of discipline and area of practice</w:t>
            </w:r>
          </w:p>
          <w:p w14:paraId="48FAC79A" w14:textId="2B8341C1" w:rsidR="00C803D5" w:rsidRPr="002C4EE2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4"/>
              </w:rPr>
              <w:t>Expert (E):  Authoritative knowledge of discipline and deep tacit understanding across area of practice</w:t>
            </w:r>
          </w:p>
        </w:tc>
      </w:tr>
      <w:tr w:rsidR="00C803D5" w:rsidRPr="00B2703A" w14:paraId="10AE1D18" w14:textId="57E24BDF" w:rsidTr="002C4EE2">
        <w:trPr>
          <w:trHeight w:val="300"/>
          <w:tblHeader/>
        </w:trPr>
        <w:tc>
          <w:tcPr>
            <w:tcW w:w="5384" w:type="dxa"/>
            <w:shd w:val="clear" w:color="auto" w:fill="BFBFBF" w:themeFill="background1" w:themeFillShade="BF"/>
            <w:hideMark/>
          </w:tcPr>
          <w:p w14:paraId="56C052D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Pre-defined topics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14:paraId="2B37B277" w14:textId="18A5C49A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2C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Comm</w:t>
            </w:r>
            <w:proofErr w:type="spellEnd"/>
            <w:r w:rsidR="009F31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-</w:t>
            </w:r>
            <w:r w:rsidRPr="002C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unity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14:paraId="12C65254" w14:textId="75D44D8D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Amb</w:t>
            </w:r>
            <w:proofErr w:type="spellEnd"/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 Care 1 (UHN)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14:paraId="5D5124D9" w14:textId="72A18C26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In Patient (CH)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14:paraId="0CFF8BDA" w14:textId="0A3D57AF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Amb</w:t>
            </w:r>
            <w:proofErr w:type="spellEnd"/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 Care 2 (UHN)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14:paraId="42A4D6B4" w14:textId="118B09A0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Amb</w:t>
            </w:r>
            <w:proofErr w:type="spellEnd"/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 Care 1 (MUHC)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14:paraId="48CD8D2F" w14:textId="182BB3E4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Geriatrics (MUHC)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14:paraId="42C42209" w14:textId="198AB4A2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TDM (MUHC)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14:paraId="724791CC" w14:textId="2D8596E1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Amb</w:t>
            </w:r>
            <w:proofErr w:type="spellEnd"/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 xml:space="preserve"> Care 2 (MUHC)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14:paraId="1F859FE0" w14:textId="375D5C09" w:rsidR="00C803D5" w:rsidRPr="002C4EE2" w:rsidRDefault="00C803D5" w:rsidP="002C4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2C4EE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4"/>
              </w:rPr>
              <w:t>Elective</w:t>
            </w:r>
          </w:p>
        </w:tc>
      </w:tr>
      <w:tr w:rsidR="00C803D5" w14:paraId="62AC1C4D" w14:textId="6453237F" w:rsidTr="00F66375">
        <w:trPr>
          <w:trHeight w:val="908"/>
        </w:trPr>
        <w:tc>
          <w:tcPr>
            <w:tcW w:w="5384" w:type="dxa"/>
            <w:shd w:val="clear" w:color="auto" w:fill="auto"/>
          </w:tcPr>
          <w:p w14:paraId="25E02422" w14:textId="7D92A99C" w:rsidR="00C803D5" w:rsidRPr="00F66375" w:rsidRDefault="00C803D5" w:rsidP="00F66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66375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z w:val="24"/>
                <w:szCs w:val="24"/>
              </w:rPr>
              <w:t>HIV:</w:t>
            </w:r>
          </w:p>
          <w:p w14:paraId="7B70B2C5" w14:textId="6C1F9196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Viral replication, viral dynamics, reservoirs / sanctuary sites, assays, interpreting results</w:t>
            </w:r>
          </w:p>
        </w:tc>
        <w:tc>
          <w:tcPr>
            <w:tcW w:w="1053" w:type="dxa"/>
            <w:shd w:val="clear" w:color="auto" w:fill="auto"/>
          </w:tcPr>
          <w:p w14:paraId="00113569" w14:textId="0B427D13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2D132259" w14:textId="02FF4464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5B038A06" w14:textId="23250063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5AE278F7" w14:textId="595F2B99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5B5B8A5C" w14:textId="6B6866A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3AEC512E" w14:textId="66F350FE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035103F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18EA989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485B825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14:paraId="4EF35465" w14:textId="78F64AB0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6918E06B" w14:textId="14C3E4A8" w:rsidR="00C803D5" w:rsidRPr="00F66375" w:rsidRDefault="00C803D5" w:rsidP="00F66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66375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z w:val="24"/>
                <w:szCs w:val="24"/>
              </w:rPr>
              <w:t>Immunology:</w:t>
            </w:r>
          </w:p>
          <w:p w14:paraId="3099E940" w14:textId="61233A4E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Immunosuppression, CD4, CD8, CD4/CD8 ratio, other targeted cells, interpreting results</w:t>
            </w:r>
          </w:p>
        </w:tc>
        <w:tc>
          <w:tcPr>
            <w:tcW w:w="1053" w:type="dxa"/>
            <w:shd w:val="clear" w:color="auto" w:fill="auto"/>
            <w:hideMark/>
          </w:tcPr>
          <w:p w14:paraId="7FFA13E3" w14:textId="57EB5562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14:paraId="40F0153B" w14:textId="137A64D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14:paraId="5029D62F" w14:textId="360612E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14:paraId="70C2884D" w14:textId="6DF52341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14:paraId="054A5246" w14:textId="27553759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14:paraId="7265D179" w14:textId="408062C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28CDEBC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9646F08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B9C4DAE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:rsidRPr="00B2703A" w14:paraId="4FA452FB" w14:textId="565CDCE8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273AEF9E" w14:textId="4202B796" w:rsidR="00C803D5" w:rsidRPr="009B0434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57693C0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Antiretrovirals</w:t>
            </w:r>
            <w:proofErr w:type="spellEnd"/>
            <w:r w:rsidRPr="657693C0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212F3ECE" w14:textId="421840A9" w:rsidR="00C803D5" w:rsidRPr="009B0434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Mechanism of action, pharmacokinetics, side effects, dosing, administration</w:t>
            </w:r>
          </w:p>
        </w:tc>
        <w:tc>
          <w:tcPr>
            <w:tcW w:w="1053" w:type="dxa"/>
            <w:shd w:val="clear" w:color="auto" w:fill="auto"/>
            <w:hideMark/>
          </w:tcPr>
          <w:p w14:paraId="2C892EF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5DAB6A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529F16F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3C40CED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1D4B97B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78076B1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4EEDF3F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A83E37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393A22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14:paraId="327512C9" w14:textId="11C14F6C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550ACBAB" w14:textId="295E32B9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Drug coverage, strategies to resolve accessibility issues</w:t>
            </w:r>
          </w:p>
        </w:tc>
        <w:tc>
          <w:tcPr>
            <w:tcW w:w="1053" w:type="dxa"/>
            <w:shd w:val="clear" w:color="auto" w:fill="auto"/>
            <w:hideMark/>
          </w:tcPr>
          <w:p w14:paraId="7E9A425D" w14:textId="5A3AFF05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14:paraId="310B7F20" w14:textId="7007D4E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14:paraId="050416B1" w14:textId="50C7D6B1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14:paraId="030E2E48" w14:textId="53B1E3D2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14:paraId="45DBA8F9" w14:textId="5301F9E0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14:paraId="45B87E14" w14:textId="0834EBC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EBA123D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8040A33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010A91E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:rsidRPr="00B2703A" w14:paraId="3F3ED36D" w14:textId="5A34B74B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6E104A50" w14:textId="6F3A3874" w:rsidR="00C803D5" w:rsidRPr="009B0434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Drug resistance (genetic barrier, within-class resistance, transmitted vs. developing resistance, interpreting genotypic and phenotypic data)</w:t>
            </w:r>
          </w:p>
        </w:tc>
        <w:tc>
          <w:tcPr>
            <w:tcW w:w="1053" w:type="dxa"/>
            <w:shd w:val="clear" w:color="auto" w:fill="auto"/>
            <w:hideMark/>
          </w:tcPr>
          <w:p w14:paraId="01FFC4D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4C2E532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2839C99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4BF80B2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05D010A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1A1C002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51880C0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C01CE6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368987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2D34C184" w14:textId="4EAD7CAC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6841CEB8" w14:textId="51010E24" w:rsidR="00C803D5" w:rsidRPr="009B0434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Therapeutic drug monitoring (clinical trials, indications, how to prescribe TDM, interpreting results, PK/PD parameters (IQ, </w:t>
            </w:r>
            <w:proofErr w:type="spellStart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vIQ</w:t>
            </w:r>
            <w:proofErr w:type="spellEnd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, GIQ, IIP), choosing appropriate targets, limitations of TDM)</w:t>
            </w:r>
          </w:p>
        </w:tc>
        <w:tc>
          <w:tcPr>
            <w:tcW w:w="1053" w:type="dxa"/>
            <w:shd w:val="clear" w:color="auto" w:fill="auto"/>
            <w:hideMark/>
          </w:tcPr>
          <w:p w14:paraId="3FA445A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1C12001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7999A6E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16A4C92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4AC4CF5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7B52A94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74DD66C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F23E07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094A6D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1E82E698" w14:textId="11D1E745" w:rsidTr="002C4EE2">
        <w:trPr>
          <w:trHeight w:val="285"/>
        </w:trPr>
        <w:tc>
          <w:tcPr>
            <w:tcW w:w="5384" w:type="dxa"/>
            <w:shd w:val="clear" w:color="auto" w:fill="auto"/>
          </w:tcPr>
          <w:p w14:paraId="5BF0ABC2" w14:textId="12F428DF" w:rsidR="00C803D5" w:rsidRPr="009B0434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Adverse drug reactions (acute, temporary, chronic, idiosyncratic), drug-induced liver injury; strategies for management of adverse drug reactions</w:t>
            </w:r>
          </w:p>
        </w:tc>
        <w:tc>
          <w:tcPr>
            <w:tcW w:w="1053" w:type="dxa"/>
            <w:shd w:val="clear" w:color="auto" w:fill="auto"/>
            <w:hideMark/>
          </w:tcPr>
          <w:p w14:paraId="3AFA244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94E290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3688FA1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3FEE0FB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2ADD48B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063AF2D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4B58801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08427D1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CA1EF1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72C8E2E7" w14:textId="2B5E724B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1ED50972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Drug interactions (identifying/predicting, managing, </w:t>
            </w: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lastRenderedPageBreak/>
              <w:t>monitoring)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D8250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11ED8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D2992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4B4F9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38C0C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476A6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285547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0F7231E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153636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14:paraId="56DA9D3E" w14:textId="5719ADE0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5FB17A39" w14:textId="31057F9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lastRenderedPageBreak/>
              <w:t>Adherence (risk factors for non adherence, barriers to adherence, adherence vs resistance)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2361B4" w14:textId="6477F744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FF85DF" w14:textId="0FAD3A79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4D2303" w14:textId="3C52C79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1CEF3A" w14:textId="1311E5C1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91A0A4" w14:textId="503811F3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082D6F" w14:textId="389747D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0E0FEA1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0D565707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F305873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:rsidRPr="00B2703A" w14:paraId="74910891" w14:textId="1F3B1F6C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08F95E2D" w14:textId="77777777" w:rsidR="00C803D5" w:rsidRPr="007C59F3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7C59F3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HIV treatment:</w:t>
            </w:r>
          </w:p>
          <w:p w14:paraId="619EA59C" w14:textId="52CF25D0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Regimens for treatment-naïve patients (clinical trials, guidelines, considerations for individualization of therapy)</w:t>
            </w:r>
          </w:p>
        </w:tc>
        <w:tc>
          <w:tcPr>
            <w:tcW w:w="1053" w:type="dxa"/>
            <w:shd w:val="clear" w:color="auto" w:fill="auto"/>
            <w:hideMark/>
          </w:tcPr>
          <w:p w14:paraId="1E443388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3979A46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0AA5B00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115EF2D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02978E2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0B34684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046584E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F115B58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A31463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6E8D0F02" w14:textId="0F6010AA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7B0289EA" w14:textId="3C1AF2DC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Regimens for treatment-experienced patients (clinical trials, guidelines, considerations for individualization of therapy)</w:t>
            </w:r>
          </w:p>
        </w:tc>
        <w:tc>
          <w:tcPr>
            <w:tcW w:w="1053" w:type="dxa"/>
            <w:shd w:val="clear" w:color="auto" w:fill="auto"/>
            <w:hideMark/>
          </w:tcPr>
          <w:p w14:paraId="2B71D29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48A9AD9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3074A06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0539FAD1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1C57D94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713738D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48C1B92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9EEF891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36C0B51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4981343D" w14:textId="12FB2029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3485BDD5" w14:textId="4A8A7030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Simplification strategies (clinical trials, guidelines, considerations for individualization of therapy)</w:t>
            </w:r>
          </w:p>
        </w:tc>
        <w:tc>
          <w:tcPr>
            <w:tcW w:w="1053" w:type="dxa"/>
            <w:shd w:val="clear" w:color="auto" w:fill="auto"/>
            <w:hideMark/>
          </w:tcPr>
          <w:p w14:paraId="09D062D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1A6C3FA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45D38F7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603383D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3356F25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99B651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6D72DBF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062F09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70D709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643C5FE3" w14:textId="69A4B3A2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DD3AF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 drug vs 3 drug options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6EE46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3BFDD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85AEB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8D8B1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1E942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2673F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60A5A4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D962A7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E8C2DD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14488E5B" w14:textId="0F40FAB0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3447F4A6" w14:textId="77777777" w:rsidR="00C803D5" w:rsidRPr="007C59F3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7C59F3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HIV prevention:</w:t>
            </w:r>
          </w:p>
          <w:p w14:paraId="478140FF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Pre-exposure prophylaxis (</w:t>
            </w:r>
            <w:proofErr w:type="spellStart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PrEP</w:t>
            </w:r>
            <w:proofErr w:type="spellEnd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53" w:type="dxa"/>
            <w:shd w:val="clear" w:color="auto" w:fill="auto"/>
            <w:hideMark/>
          </w:tcPr>
          <w:p w14:paraId="44A7556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6284E17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1ECA1B7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4A8BCB5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70059EA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2A44DC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45C5EAD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3A3AC7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ADDE99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701D400C" w14:textId="3E57DDF0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3E8A0257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Mother-to-child transmission (MTCT)</w:t>
            </w:r>
          </w:p>
        </w:tc>
        <w:tc>
          <w:tcPr>
            <w:tcW w:w="1053" w:type="dxa"/>
            <w:shd w:val="clear" w:color="auto" w:fill="auto"/>
            <w:hideMark/>
          </w:tcPr>
          <w:p w14:paraId="4F888FC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4501C7A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70540D4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638E59E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671C99C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4F439E5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189B851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760297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BEA18F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50EBAC27" w14:textId="6ECD1206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2EF629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Post-exposure prophylaxis (PEP)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A648A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3E0CA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774DF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F5B4C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23E4F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2DE6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4D7771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2E8DF20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C395CE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1C0854C2" w14:textId="4FADD2F9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C52357" w14:textId="034B83E3" w:rsidR="00C803D5" w:rsidRPr="657693C0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Treatment as prevention (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TasP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), U=U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1E986B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06E2DB1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47FC312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30F5EA8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653201B8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4A78EC2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3B498F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6E7B34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A83781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2F2B5291" w14:textId="6071DB6D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3356EB05" w14:textId="77777777" w:rsidR="00C803D5" w:rsidRDefault="00C803D5" w:rsidP="007C59F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7C59F3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Special populations:</w:t>
            </w:r>
          </w:p>
          <w:p w14:paraId="2882E9AC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Pediatrics</w:t>
            </w:r>
          </w:p>
        </w:tc>
        <w:tc>
          <w:tcPr>
            <w:tcW w:w="1053" w:type="dxa"/>
            <w:shd w:val="clear" w:color="auto" w:fill="auto"/>
          </w:tcPr>
          <w:p w14:paraId="414B309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7C9316A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31D8AE5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60A4A60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2783434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71B7B1C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6CAB60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0DD993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AFBC81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5F09AA3B" w14:textId="7836FFB3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2C0B5E84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Geriatrics</w:t>
            </w:r>
          </w:p>
        </w:tc>
        <w:tc>
          <w:tcPr>
            <w:tcW w:w="1053" w:type="dxa"/>
            <w:shd w:val="clear" w:color="auto" w:fill="auto"/>
          </w:tcPr>
          <w:p w14:paraId="4B35BFA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6805368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2B09342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1B23947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3F03653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004E832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DB7E5D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F634E0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0FC79D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276C5EBE" w14:textId="20DA80FA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10D49572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Pregnancy</w:t>
            </w:r>
          </w:p>
        </w:tc>
        <w:tc>
          <w:tcPr>
            <w:tcW w:w="1053" w:type="dxa"/>
            <w:shd w:val="clear" w:color="auto" w:fill="auto"/>
          </w:tcPr>
          <w:p w14:paraId="4675E98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348C422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03D27371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3BA35C0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050EC8F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23419E8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7F63E0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4BD962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992AAE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66697BC1" w14:textId="0AB2F640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037B587F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People who inject drugs (PWID)</w:t>
            </w:r>
          </w:p>
        </w:tc>
        <w:tc>
          <w:tcPr>
            <w:tcW w:w="1053" w:type="dxa"/>
            <w:shd w:val="clear" w:color="auto" w:fill="auto"/>
          </w:tcPr>
          <w:p w14:paraId="2DFEBFD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2111EAA1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4762E85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387776B8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5A123E0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08E2231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7FC340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50A319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E9DADD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4BD6CD63" w14:textId="52223072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77BD76BF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lastRenderedPageBreak/>
              <w:t>Refugees/new immigrants</w:t>
            </w:r>
          </w:p>
        </w:tc>
        <w:tc>
          <w:tcPr>
            <w:tcW w:w="1053" w:type="dxa"/>
            <w:shd w:val="clear" w:color="auto" w:fill="auto"/>
          </w:tcPr>
          <w:p w14:paraId="3A81833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159371F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548868F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102FFA8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1BAB510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1651668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26A26A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DD13FD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4A9797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0E4C2D3D" w14:textId="74A62505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23D56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Transgender 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47D51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C602A9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60CF2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F903F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1AA01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7C0EB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C479A5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170B316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4E719A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0330A9B3" w14:textId="3960C353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77C0198C" w14:textId="7D5EAC01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Coinfections (treatment and prevention):</w:t>
            </w:r>
          </w:p>
          <w:p w14:paraId="1FA10A85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Hepatitis B</w:t>
            </w:r>
          </w:p>
        </w:tc>
        <w:tc>
          <w:tcPr>
            <w:tcW w:w="1053" w:type="dxa"/>
            <w:shd w:val="clear" w:color="auto" w:fill="auto"/>
            <w:hideMark/>
          </w:tcPr>
          <w:p w14:paraId="001D5122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7FBE3D6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404646C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6316F91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035FDB2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0F672630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3EFE9D0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A625DB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0322BD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76668F61" w14:textId="2FC94F32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7CEAFC95" w14:textId="77777777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Hepatitis C</w:t>
            </w:r>
          </w:p>
        </w:tc>
        <w:tc>
          <w:tcPr>
            <w:tcW w:w="1053" w:type="dxa"/>
            <w:shd w:val="clear" w:color="auto" w:fill="auto"/>
          </w:tcPr>
          <w:p w14:paraId="5DE8E80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4B1B184F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6980638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7D76B07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4D5CCC8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7C2018D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15D953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69F1BF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8EFF473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1EFA5CE7" w14:textId="0881BDF7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9765F6" w14:textId="19DD8C63" w:rsidR="00C803D5" w:rsidRPr="007C59F3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Tuberculosis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662F7398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4572774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53565ED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33824B75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2895950E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0D8413D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A7B09FC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18B418D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4616C91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14:paraId="3527EB78" w14:textId="588EED96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731DB1" w14:textId="6EE9142C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Other STBBIs (ex: syphilis, genital herpes, chlamydia / gonorrhea)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35E826EA" w14:textId="58AA5B1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CC263D2" w14:textId="04773FF0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41F64B6F" w14:textId="35BE140F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3A2DDE32" w14:textId="3640684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4108D29A" w14:textId="01EBF0E0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955780F" w14:textId="54F7621C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C30467B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42E2E12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E3D7785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14:paraId="5EBE64A6" w14:textId="171F15F7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2E67D2" w14:textId="7323C72E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Vaccinations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6DEF5A94" w14:textId="4E7F8D74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1493BD9B" w14:textId="22FD0E5F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4C2C9897" w14:textId="43353D79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3AD3E02F" w14:textId="075B3202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3DFAD8FA" w14:textId="2C072B9F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C44E5EE" w14:textId="7B707BD0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997E64B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6057841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E9A66E5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:rsidRPr="00B2703A" w14:paraId="7CD301D5" w14:textId="3A36C461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65DEEC68" w14:textId="40C4080F" w:rsidR="00C803D5" w:rsidRPr="00752541" w:rsidRDefault="00C803D5" w:rsidP="4DDE5A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DDE5A68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Opportunistic Infections  </w:t>
            </w:r>
            <w:r w:rsidRPr="4DDE5A6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</w:rPr>
              <w:t>(disease, treatment and prevention as applicable):</w:t>
            </w:r>
          </w:p>
          <w:p w14:paraId="34202D32" w14:textId="46DE906F" w:rsidR="00C803D5" w:rsidRPr="00752541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Candidiasis</w:t>
            </w:r>
          </w:p>
        </w:tc>
        <w:tc>
          <w:tcPr>
            <w:tcW w:w="1053" w:type="dxa"/>
            <w:shd w:val="clear" w:color="auto" w:fill="auto"/>
            <w:hideMark/>
          </w:tcPr>
          <w:p w14:paraId="5172A1B8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35B2DF6B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2A31E1F7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56B68F41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34A2983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5CB73E04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7D416B76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80137ED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218894A" w14:textId="77777777" w:rsidR="00C803D5" w:rsidRPr="00B2703A" w:rsidRDefault="00C803D5" w:rsidP="00D63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14:paraId="6C5474F7" w14:textId="6257C3BB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01583785" w14:textId="1F9CC93F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Cryptococcal</w:t>
            </w:r>
            <w:proofErr w:type="spellEnd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meningitis</w:t>
            </w:r>
          </w:p>
        </w:tc>
        <w:tc>
          <w:tcPr>
            <w:tcW w:w="1053" w:type="dxa"/>
            <w:shd w:val="clear" w:color="auto" w:fill="auto"/>
          </w:tcPr>
          <w:p w14:paraId="4E5D8AFE" w14:textId="4AE3B4DE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3FBFF68B" w14:textId="4E728766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6A901EB0" w14:textId="30F3AFC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4875D090" w14:textId="39FBF5C1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3E3780FE" w14:textId="03CD7704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432D2489" w14:textId="4BC1C06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9635EB3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19B5B4D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BFCD3B2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:rsidRPr="00B2703A" w14:paraId="0A82298C" w14:textId="0D5229AF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45FA352D" w14:textId="50CB86B0" w:rsidR="00C803D5" w:rsidRPr="00752541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Cytomegalovirus (CMV)</w:t>
            </w:r>
          </w:p>
        </w:tc>
        <w:tc>
          <w:tcPr>
            <w:tcW w:w="1053" w:type="dxa"/>
            <w:shd w:val="clear" w:color="auto" w:fill="auto"/>
          </w:tcPr>
          <w:p w14:paraId="2AD6CF4C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0DDB692F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355EE9FF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15439EC7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5E2EE22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47A7C6CB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CA0DCE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842F101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415E62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3DFC5CB9" w14:textId="772A6BBB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3E80A47E" w14:textId="2AFADC17" w:rsidR="00C803D5" w:rsidRPr="00752541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Mycobacterium </w:t>
            </w:r>
            <w:proofErr w:type="spellStart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avium</w:t>
            </w:r>
            <w:proofErr w:type="spellEnd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complex (MAC)</w:t>
            </w:r>
          </w:p>
        </w:tc>
        <w:tc>
          <w:tcPr>
            <w:tcW w:w="1053" w:type="dxa"/>
            <w:shd w:val="clear" w:color="auto" w:fill="auto"/>
          </w:tcPr>
          <w:p w14:paraId="68335E4C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15B5725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6CF10AB6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7634D96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64855D3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6B552F16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C76A55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83AC85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173ECC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729C8D62" w14:textId="474F7445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157DF742" w14:textId="74DA2323" w:rsidR="00C803D5" w:rsidRPr="0068296C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Pneumocystis </w:t>
            </w:r>
            <w:proofErr w:type="spellStart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jiroveci</w:t>
            </w:r>
            <w:proofErr w:type="spellEnd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pneumonia (PJP)</w:t>
            </w:r>
          </w:p>
        </w:tc>
        <w:tc>
          <w:tcPr>
            <w:tcW w:w="1053" w:type="dxa"/>
            <w:shd w:val="clear" w:color="auto" w:fill="auto"/>
          </w:tcPr>
          <w:p w14:paraId="1C834E7C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7466A4AA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20C801C0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33F7DD1F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46EAB4D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3528A05B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46A12D1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03F689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E2C5D1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14:paraId="1F290159" w14:textId="16FB6BDC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1B2F7" w14:textId="1422C47C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Progressive multifocal leukoencephalopathy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065C3B04" w14:textId="1079BE99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464C227D" w14:textId="7C53E330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541D62B0" w14:textId="178DDCAB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7DC99A3" w14:textId="67A27F2C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4500A06E" w14:textId="229B9A1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3325CD33" w14:textId="0B1EA42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B07CA72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4B4490B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665951D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:rsidRPr="00B2703A" w14:paraId="1D3EB40F" w14:textId="42164A3C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E8EFFE" w14:textId="12B203F8" w:rsidR="00C803D5" w:rsidRPr="0068296C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Toxoplasmosis </w:t>
            </w:r>
            <w:proofErr w:type="spellStart"/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gondii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54BEC2B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CB00210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674C14D9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6CC8BE64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6C3D024E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7B8E4D76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FA61F9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4A2A6724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C2AAB5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14:paraId="338E0B87" w14:textId="3BFB6C97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8D693B" w14:textId="22140CC4" w:rsidR="00C803D5" w:rsidRDefault="00C803D5" w:rsidP="00AC0A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Other HIV-associated complications </w:t>
            </w:r>
            <w:r w:rsidRPr="657693C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</w:rPr>
              <w:t>(disease, treatment and prevention as applicable):</w:t>
            </w:r>
          </w:p>
          <w:p w14:paraId="1F816FA7" w14:textId="3B8EFA0C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Cancers (HIV associated, non-HIV associated)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1DE372E1" w14:textId="6BD07C4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4EAE1465" w14:textId="0F11463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4765B30B" w14:textId="5E7AFB0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2C4AB34C" w14:textId="4E8B35F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0B43EBD3" w14:textId="7BA7179B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2ECE8420" w14:textId="7DBC44EA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1FBCD12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06AE2151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781A3D0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14:paraId="774EA48A" w14:textId="03763CEE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E33316" w14:textId="5BD1A945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lastRenderedPageBreak/>
              <w:t>HIV associated nephropathy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48C18308" w14:textId="778F079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4577BC32" w14:textId="13AEFBF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4D252880" w14:textId="258407E4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64325A3C" w14:textId="1C7329B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14690168" w14:textId="53CF2EE6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133B5BE1" w14:textId="15776C2E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687CC90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0F0576FB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A0C2C2F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14:paraId="2AF207AA" w14:textId="7007E9FA" w:rsidTr="002C4EE2">
        <w:trPr>
          <w:trHeight w:val="28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82EB9" w14:textId="348C3F31" w:rsidR="00C803D5" w:rsidRDefault="00C803D5" w:rsidP="000546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HIV dementia and HIV associated neurocognitive disorder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2A325847" w14:textId="0B8BC3C5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89F20AE" w14:textId="0BD06EB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0A9C16A3" w14:textId="7B7C357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641A0A76" w14:textId="729841C6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4B688E4B" w14:textId="6FEF47AA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B4D1ADE" w14:textId="7F7B3F20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0A98D7C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37DE681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AA81307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14:paraId="233E79C9" w14:textId="1CEEF373" w:rsidTr="00AC0ABC">
        <w:trPr>
          <w:trHeight w:val="422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E3E24" w14:textId="6AE7EC1D" w:rsidR="00C803D5" w:rsidRDefault="00C803D5" w:rsidP="00AC0A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HIV wasting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63EE22E7" w14:textId="322D7568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135E670C" w14:textId="4933CE3A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3CA66617" w14:textId="6AD29780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7E10D0DA" w14:textId="4295F0D6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7692DF04" w14:textId="03B92A7F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4578CE69" w14:textId="6C5BA36D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FEDDD47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6CCFD24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5FE38A7" w14:textId="77777777" w:rsidR="00C803D5" w:rsidRDefault="00C803D5" w:rsidP="657693C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803D5" w:rsidRPr="00B2703A" w14:paraId="7C680EBB" w14:textId="0BA4195D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  <w:hideMark/>
          </w:tcPr>
          <w:p w14:paraId="573CF5CE" w14:textId="11A11552" w:rsidR="00C803D5" w:rsidRPr="0068296C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68296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Comorbidities:</w:t>
            </w:r>
          </w:p>
          <w:p w14:paraId="7383C753" w14:textId="12F7946E" w:rsidR="00C803D5" w:rsidRPr="0068296C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Diabetes </w:t>
            </w:r>
          </w:p>
        </w:tc>
        <w:tc>
          <w:tcPr>
            <w:tcW w:w="1053" w:type="dxa"/>
            <w:shd w:val="clear" w:color="auto" w:fill="auto"/>
            <w:hideMark/>
          </w:tcPr>
          <w:p w14:paraId="2182BDAE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FB37FDF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143D68AE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12E5867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0A6395D7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9780517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428DA5B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4308F0B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16DAC9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72109B96" w14:textId="5782482F" w:rsidTr="002C4EE2">
        <w:trPr>
          <w:trHeight w:val="288"/>
        </w:trPr>
        <w:tc>
          <w:tcPr>
            <w:tcW w:w="5384" w:type="dxa"/>
            <w:shd w:val="clear" w:color="auto" w:fill="auto"/>
          </w:tcPr>
          <w:p w14:paraId="1DD4C865" w14:textId="71FF8FC5" w:rsidR="00C803D5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Cardiovascular disease (hypertension, hyperlipidemia,  coronary disease), stroke, venous thromboembolic disease (DVT/PE)) </w:t>
            </w:r>
          </w:p>
        </w:tc>
        <w:tc>
          <w:tcPr>
            <w:tcW w:w="1053" w:type="dxa"/>
            <w:shd w:val="clear" w:color="auto" w:fill="auto"/>
          </w:tcPr>
          <w:p w14:paraId="0718867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52EC1AF0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46D24580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0BC110F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08B3FEC4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7C41596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7144D1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A5A74CA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C182989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319CBAE5" w14:textId="05FE4D48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  <w:hideMark/>
          </w:tcPr>
          <w:p w14:paraId="3F0A11CC" w14:textId="49968AC4" w:rsidR="00C803D5" w:rsidRPr="0068296C" w:rsidRDefault="00C803D5" w:rsidP="657693C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Mental health (depression, anxiety, insomnia, substance use disorder, etc)</w:t>
            </w:r>
          </w:p>
        </w:tc>
        <w:tc>
          <w:tcPr>
            <w:tcW w:w="1053" w:type="dxa"/>
            <w:shd w:val="clear" w:color="auto" w:fill="auto"/>
            <w:hideMark/>
          </w:tcPr>
          <w:p w14:paraId="00598E50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06B54651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73574E31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775FA1E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2AD406FF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31D2EE5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74F5CB19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FE6CE3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7E774D6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30EC8D41" w14:textId="5579F9A0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  <w:hideMark/>
          </w:tcPr>
          <w:p w14:paraId="64BAA367" w14:textId="16B6AF40" w:rsidR="00C803D5" w:rsidRPr="0068296C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Gastro-esophageal reflux disease (GERD), peptic ulcer disease (PUD)</w:t>
            </w:r>
          </w:p>
        </w:tc>
        <w:tc>
          <w:tcPr>
            <w:tcW w:w="1053" w:type="dxa"/>
            <w:shd w:val="clear" w:color="auto" w:fill="auto"/>
            <w:hideMark/>
          </w:tcPr>
          <w:p w14:paraId="671B99CE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8E8698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7726076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08F72209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0BE1737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6318291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2BBBFB34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2468775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36A5EB1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0B851A21" w14:textId="62BF97E5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7DF3B7CC" w14:textId="19025E47" w:rsidR="00C803D5" w:rsidRPr="0068296C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Epilepsy/seizures</w:t>
            </w:r>
          </w:p>
        </w:tc>
        <w:tc>
          <w:tcPr>
            <w:tcW w:w="1053" w:type="dxa"/>
            <w:shd w:val="clear" w:color="auto" w:fill="auto"/>
            <w:hideMark/>
          </w:tcPr>
          <w:p w14:paraId="09DF0E5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4D36C600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4956BB07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1F51CAE5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1FE1746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73A8821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64A2AD3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848225A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B332619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2039D065" w14:textId="24497B3B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0C482A0D" w14:textId="561E1D04" w:rsidR="00C803D5" w:rsidRPr="0068296C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Pain management (neuropathic, chronic, acute)</w:t>
            </w:r>
          </w:p>
        </w:tc>
        <w:tc>
          <w:tcPr>
            <w:tcW w:w="1053" w:type="dxa"/>
            <w:shd w:val="clear" w:color="auto" w:fill="auto"/>
            <w:hideMark/>
          </w:tcPr>
          <w:p w14:paraId="4781E1D4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5CC16931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02ED5B37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66D0FB5C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7A47E2F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32DB402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4A2D0F57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3F5685D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2093A8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6DFFE605" w14:textId="27167049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7CECA2F1" w14:textId="2A1DD331" w:rsidR="00C803D5" w:rsidRPr="657693C0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Osteopenia/osteoporosis, bone health</w:t>
            </w:r>
          </w:p>
        </w:tc>
        <w:tc>
          <w:tcPr>
            <w:tcW w:w="1053" w:type="dxa"/>
            <w:shd w:val="clear" w:color="auto" w:fill="auto"/>
          </w:tcPr>
          <w:p w14:paraId="1D3403E5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6F8623E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081C729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4664051C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0624D440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4DEF3CE4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DB3C4B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3FAC185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2DE58F1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13C6DFA4" w14:textId="4706E6C6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  <w:hideMark/>
          </w:tcPr>
          <w:p w14:paraId="64FC888F" w14:textId="26576A0B" w:rsidR="00C803D5" w:rsidRPr="0068296C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7693C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Smoking cessation</w:t>
            </w:r>
          </w:p>
        </w:tc>
        <w:tc>
          <w:tcPr>
            <w:tcW w:w="1053" w:type="dxa"/>
            <w:shd w:val="clear" w:color="auto" w:fill="auto"/>
            <w:hideMark/>
          </w:tcPr>
          <w:p w14:paraId="470FB5EF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40C35F7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22319F8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64C12B2C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61A214DE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207795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14:paraId="000CEC70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4269466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ED00FDF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803D5" w:rsidRPr="00B2703A" w14:paraId="7B2FF935" w14:textId="3EFDC4F7" w:rsidTr="002C4EE2">
        <w:trPr>
          <w:trHeight w:val="288"/>
        </w:trPr>
        <w:tc>
          <w:tcPr>
            <w:tcW w:w="5384" w:type="dxa"/>
            <w:shd w:val="clear" w:color="auto" w:fill="auto"/>
            <w:vAlign w:val="bottom"/>
          </w:tcPr>
          <w:p w14:paraId="4EF3BC73" w14:textId="6ED53B8B" w:rsidR="00C803D5" w:rsidRPr="657693C0" w:rsidRDefault="00C803D5" w:rsidP="657693C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Opioid substitution therapy</w:t>
            </w:r>
          </w:p>
        </w:tc>
        <w:tc>
          <w:tcPr>
            <w:tcW w:w="1053" w:type="dxa"/>
            <w:shd w:val="clear" w:color="auto" w:fill="auto"/>
          </w:tcPr>
          <w:p w14:paraId="77915A58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1E43E89E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2E3FB89C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5D9A0FE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7A6061C9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5E94528E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FA35D22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D09F975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87A0163" w14:textId="77777777" w:rsidR="00C803D5" w:rsidRPr="00B2703A" w:rsidRDefault="00C803D5" w:rsidP="0068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5009AD37" w14:textId="747D78E8" w:rsidR="0068296C" w:rsidRDefault="0068296C" w:rsidP="0068296C">
      <w:pPr>
        <w:rPr>
          <w:rFonts w:ascii="Arial" w:hAnsi="Arial" w:cs="Arial"/>
          <w:sz w:val="20"/>
          <w:szCs w:val="20"/>
        </w:rPr>
      </w:pPr>
    </w:p>
    <w:p w14:paraId="3A924D7D" w14:textId="47E7BA70" w:rsidR="009F0B50" w:rsidRPr="009F0B50" w:rsidRDefault="657693C0" w:rsidP="657693C0">
      <w:pPr>
        <w:rPr>
          <w:i/>
          <w:iCs/>
        </w:rPr>
      </w:pPr>
      <w:bookmarkStart w:id="0" w:name="_GoBack"/>
      <w:bookmarkEnd w:id="0"/>
      <w:r w:rsidRPr="657693C0">
        <w:rPr>
          <w:i/>
          <w:iCs/>
        </w:rPr>
        <w:t xml:space="preserve">Last updated </w:t>
      </w:r>
      <w:r w:rsidR="00AA76B4">
        <w:rPr>
          <w:i/>
          <w:iCs/>
        </w:rPr>
        <w:t>September</w:t>
      </w:r>
      <w:r w:rsidR="00AA76B4" w:rsidRPr="657693C0">
        <w:rPr>
          <w:i/>
          <w:iCs/>
        </w:rPr>
        <w:t xml:space="preserve"> </w:t>
      </w:r>
      <w:r w:rsidRPr="657693C0">
        <w:rPr>
          <w:i/>
          <w:iCs/>
        </w:rPr>
        <w:t>2019</w:t>
      </w:r>
    </w:p>
    <w:sectPr w:rsidR="009F0B50" w:rsidRPr="009F0B50" w:rsidSect="00D94D6F">
      <w:head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A5EF" w14:textId="77777777" w:rsidR="00C803D5" w:rsidRDefault="00C803D5" w:rsidP="00D63E5A">
      <w:pPr>
        <w:spacing w:after="0" w:line="240" w:lineRule="auto"/>
      </w:pPr>
      <w:r>
        <w:separator/>
      </w:r>
    </w:p>
  </w:endnote>
  <w:endnote w:type="continuationSeparator" w:id="0">
    <w:p w14:paraId="62CD9CAF" w14:textId="77777777" w:rsidR="00C803D5" w:rsidRDefault="00C803D5" w:rsidP="00D6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7DFC1" w14:textId="7699348C" w:rsidR="00C803D5" w:rsidRDefault="00C803D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6FF349" w14:textId="77777777" w:rsidR="00C803D5" w:rsidRDefault="00C803D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BECA9" w14:textId="77777777" w:rsidR="00C803D5" w:rsidRDefault="00C803D5" w:rsidP="00D63E5A">
      <w:pPr>
        <w:spacing w:after="0" w:line="240" w:lineRule="auto"/>
      </w:pPr>
      <w:r>
        <w:separator/>
      </w:r>
    </w:p>
  </w:footnote>
  <w:footnote w:type="continuationSeparator" w:id="0">
    <w:p w14:paraId="5B1D7572" w14:textId="77777777" w:rsidR="00C803D5" w:rsidRDefault="00C803D5" w:rsidP="00D6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627E" w14:textId="6A593112" w:rsidR="00C803D5" w:rsidRDefault="00C803D5">
    <w:pPr>
      <w:pStyle w:val="En-tte"/>
    </w:pPr>
    <w:r>
      <w:t>UHN/MUHC HIV Advanced (Year 2) Residency Program                                                                              Longitudinal Knowledge Tracking Form</w:t>
    </w:r>
  </w:p>
  <w:p w14:paraId="7C4C55C2" w14:textId="77777777" w:rsidR="00C803D5" w:rsidRDefault="00C803D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783F" w14:textId="77755FBA" w:rsidR="00C803D5" w:rsidRPr="007664A4" w:rsidRDefault="00C803D5" w:rsidP="007664A4">
    <w:pPr>
      <w:jc w:val="center"/>
      <w:rPr>
        <w:rFonts w:ascii="Arial" w:hAnsi="Arial"/>
        <w:b/>
        <w:color w:val="2E74B5"/>
        <w:sz w:val="20"/>
        <w:szCs w:val="20"/>
        <w:lang w:val="en-GB"/>
      </w:rPr>
    </w:pPr>
    <w:r w:rsidRPr="007664A4">
      <w:rPr>
        <w:rFonts w:ascii="Arial" w:hAnsi="Arial" w:cs="Arial"/>
        <w:b/>
        <w:color w:val="2E74B5"/>
        <w:sz w:val="20"/>
        <w:szCs w:val="20"/>
      </w:rPr>
      <w:t xml:space="preserve">UNIVERSITY HEALTH NETWORK/ </w:t>
    </w:r>
    <w:proofErr w:type="spellStart"/>
    <w:r w:rsidRPr="007664A4">
      <w:rPr>
        <w:rFonts w:ascii="Arial" w:hAnsi="Arial" w:cs="Arial"/>
        <w:b/>
        <w:color w:val="2E74B5"/>
        <w:sz w:val="20"/>
        <w:szCs w:val="20"/>
      </w:rPr>
      <w:t>McGILL</w:t>
    </w:r>
    <w:proofErr w:type="spellEnd"/>
    <w:r w:rsidRPr="007664A4">
      <w:rPr>
        <w:rFonts w:ascii="Arial" w:hAnsi="Arial" w:cs="Arial"/>
        <w:b/>
        <w:color w:val="2E74B5"/>
        <w:sz w:val="20"/>
        <w:szCs w:val="20"/>
      </w:rPr>
      <w:t xml:space="preserve"> UNIVERSITY HEALTH CENTRE  </w:t>
    </w:r>
    <w:r>
      <w:rPr>
        <w:rFonts w:ascii="Arial" w:hAnsi="Arial" w:cs="Arial"/>
        <w:b/>
        <w:color w:val="2E74B5"/>
        <w:sz w:val="20"/>
        <w:szCs w:val="20"/>
      </w:rPr>
      <w:t xml:space="preserve">              </w:t>
    </w:r>
    <w:r w:rsidRPr="007664A4">
      <w:rPr>
        <w:rFonts w:ascii="Arial" w:hAnsi="Arial" w:cs="Arial"/>
        <w:b/>
        <w:color w:val="2E74B5"/>
        <w:sz w:val="20"/>
        <w:szCs w:val="20"/>
      </w:rPr>
      <w:t>HIV ADVANCED (YEAR 2) RESIDENCY PROGRAM</w:t>
    </w:r>
    <w:r w:rsidRPr="007664A4">
      <w:rPr>
        <w:rFonts w:ascii="Arial" w:hAnsi="Arial"/>
        <w:b/>
        <w:color w:val="2E74B5"/>
        <w:sz w:val="20"/>
        <w:szCs w:val="20"/>
        <w:lang w:val="en-GB"/>
      </w:rPr>
      <w:t xml:space="preserve"> </w:t>
    </w:r>
  </w:p>
  <w:p w14:paraId="1D69092B" w14:textId="209214F7" w:rsidR="00C803D5" w:rsidRDefault="00C803D5">
    <w:pPr>
      <w:pStyle w:val="En-tte"/>
      <w:rPr>
        <w:b/>
        <w:sz w:val="24"/>
        <w:szCs w:val="24"/>
        <w:lang w:val="en-CA"/>
      </w:rPr>
    </w:pPr>
    <w:r>
      <w:rPr>
        <w:b/>
        <w:sz w:val="24"/>
        <w:szCs w:val="24"/>
        <w:lang w:val="en-CA"/>
      </w:rPr>
      <w:t>Longitudinal</w:t>
    </w:r>
    <w:r w:rsidRPr="00D6339D">
      <w:rPr>
        <w:b/>
        <w:sz w:val="24"/>
        <w:szCs w:val="24"/>
        <w:lang w:val="en-CA"/>
      </w:rPr>
      <w:t xml:space="preserve"> Knowledge Tracking</w:t>
    </w:r>
    <w:r>
      <w:rPr>
        <w:b/>
        <w:sz w:val="24"/>
        <w:szCs w:val="24"/>
        <w:lang w:val="en-CA"/>
      </w:rPr>
      <w:t xml:space="preserve"> Form</w:t>
    </w:r>
    <w:r w:rsidRPr="00D6339D">
      <w:rPr>
        <w:b/>
        <w:sz w:val="24"/>
        <w:szCs w:val="24"/>
        <w:lang w:val="en-CA"/>
      </w:rPr>
      <w:tab/>
      <w:t>Resident Name:</w:t>
    </w:r>
    <w:r>
      <w:rPr>
        <w:b/>
        <w:sz w:val="24"/>
        <w:szCs w:val="24"/>
        <w:lang w:val="en-CA"/>
      </w:rPr>
      <w:tab/>
    </w:r>
    <w:r>
      <w:rPr>
        <w:b/>
        <w:sz w:val="24"/>
        <w:szCs w:val="24"/>
        <w:lang w:val="en-CA"/>
      </w:rPr>
      <w:tab/>
    </w:r>
    <w:r>
      <w:rPr>
        <w:b/>
        <w:sz w:val="24"/>
        <w:szCs w:val="24"/>
        <w:lang w:val="en-CA"/>
      </w:rPr>
      <w:tab/>
    </w:r>
    <w:r>
      <w:rPr>
        <w:b/>
        <w:sz w:val="24"/>
        <w:szCs w:val="24"/>
        <w:lang w:val="en-CA"/>
      </w:rPr>
      <w:tab/>
    </w:r>
  </w:p>
  <w:p w14:paraId="619174E3" w14:textId="7402CB52" w:rsidR="00C803D5" w:rsidRDefault="00C803D5">
    <w:pPr>
      <w:pStyle w:val="En-tte"/>
      <w:rPr>
        <w:i/>
        <w:sz w:val="16"/>
        <w:szCs w:val="16"/>
        <w:lang w:val="en-CA"/>
      </w:rPr>
    </w:pPr>
    <w:r w:rsidRPr="00D94D6F">
      <w:rPr>
        <w:i/>
        <w:sz w:val="16"/>
        <w:szCs w:val="16"/>
        <w:lang w:val="en-CA"/>
      </w:rPr>
      <w:t xml:space="preserve">The purpose of this document is:  1) to allow residents to identify and track progress on </w:t>
    </w:r>
    <w:r>
      <w:rPr>
        <w:i/>
        <w:sz w:val="16"/>
        <w:szCs w:val="16"/>
        <w:lang w:val="en-CA"/>
      </w:rPr>
      <w:t>k</w:t>
    </w:r>
    <w:r w:rsidRPr="00D94D6F">
      <w:rPr>
        <w:i/>
        <w:sz w:val="16"/>
        <w:szCs w:val="16"/>
        <w:lang w:val="en-CA"/>
      </w:rPr>
      <w:t>ey knowledge areas through</w:t>
    </w:r>
    <w:r>
      <w:rPr>
        <w:i/>
        <w:sz w:val="16"/>
        <w:szCs w:val="16"/>
        <w:lang w:val="en-CA"/>
      </w:rPr>
      <w:t>out</w:t>
    </w:r>
    <w:r w:rsidRPr="00D94D6F">
      <w:rPr>
        <w:i/>
        <w:sz w:val="16"/>
        <w:szCs w:val="16"/>
        <w:lang w:val="en-CA"/>
      </w:rPr>
      <w:t xml:space="preserve"> their residency year 2) serve as a tool to assist resident with identification of rotation specific objectives 3) for preceptor awareness of knowledge areas addressed</w:t>
    </w:r>
    <w:r>
      <w:rPr>
        <w:i/>
        <w:sz w:val="16"/>
        <w:szCs w:val="16"/>
        <w:lang w:val="en-CA"/>
      </w:rPr>
      <w:t>.  The resident will maintain this document and present to the rotation preceptor at the start of each rotation.</w:t>
    </w:r>
    <w:r w:rsidRPr="00D94D6F">
      <w:rPr>
        <w:i/>
        <w:sz w:val="16"/>
        <w:szCs w:val="16"/>
        <w:lang w:val="en-CA"/>
      </w:rPr>
      <w:t xml:space="preserve"> </w:t>
    </w:r>
  </w:p>
  <w:p w14:paraId="2C751914" w14:textId="77777777" w:rsidR="00C803D5" w:rsidRPr="00D94D6F" w:rsidRDefault="00C803D5">
    <w:pPr>
      <w:pStyle w:val="En-tte"/>
      <w:rPr>
        <w:i/>
        <w:sz w:val="16"/>
        <w:szCs w:val="16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E6E"/>
    <w:multiLevelType w:val="hybridMultilevel"/>
    <w:tmpl w:val="4D588902"/>
    <w:lvl w:ilvl="0" w:tplc="B180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2E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85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00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E9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03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65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8F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61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B1B"/>
    <w:multiLevelType w:val="hybridMultilevel"/>
    <w:tmpl w:val="616A8F2C"/>
    <w:lvl w:ilvl="0" w:tplc="F900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E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0F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6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CB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8D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6F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3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A8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3E2D"/>
    <w:multiLevelType w:val="hybridMultilevel"/>
    <w:tmpl w:val="26BE9F06"/>
    <w:lvl w:ilvl="0" w:tplc="5A9A4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E7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27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CF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7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66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C0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E5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D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5537"/>
    <w:multiLevelType w:val="hybridMultilevel"/>
    <w:tmpl w:val="C2C467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7146E"/>
    <w:multiLevelType w:val="hybridMultilevel"/>
    <w:tmpl w:val="EED6214C"/>
    <w:lvl w:ilvl="0" w:tplc="DEA2A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2B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A2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E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A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AE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C1FF5"/>
    <w:multiLevelType w:val="hybridMultilevel"/>
    <w:tmpl w:val="3306C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FB0536"/>
    <w:multiLevelType w:val="hybridMultilevel"/>
    <w:tmpl w:val="45F2B2B2"/>
    <w:lvl w:ilvl="0" w:tplc="0708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28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A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E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68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6C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0B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9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2B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80B10"/>
    <w:multiLevelType w:val="hybridMultilevel"/>
    <w:tmpl w:val="26B2F928"/>
    <w:lvl w:ilvl="0" w:tplc="2D90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A5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8F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63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80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C6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E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4C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C4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F5364"/>
    <w:multiLevelType w:val="hybridMultilevel"/>
    <w:tmpl w:val="13529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B1E15"/>
    <w:multiLevelType w:val="hybridMultilevel"/>
    <w:tmpl w:val="97529E64"/>
    <w:lvl w:ilvl="0" w:tplc="F626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008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6E1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C0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C8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6A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43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AE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87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C71F7"/>
    <w:multiLevelType w:val="hybridMultilevel"/>
    <w:tmpl w:val="C296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635C5C"/>
    <w:multiLevelType w:val="hybridMultilevel"/>
    <w:tmpl w:val="2E00F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BA185C"/>
    <w:multiLevelType w:val="hybridMultilevel"/>
    <w:tmpl w:val="54FA7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F67E13"/>
    <w:multiLevelType w:val="hybridMultilevel"/>
    <w:tmpl w:val="5636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5A"/>
    <w:rsid w:val="000546F2"/>
    <w:rsid w:val="000911FD"/>
    <w:rsid w:val="000A55BD"/>
    <w:rsid w:val="000A5F32"/>
    <w:rsid w:val="000E64FA"/>
    <w:rsid w:val="002300B4"/>
    <w:rsid w:val="0025447C"/>
    <w:rsid w:val="002C4EE2"/>
    <w:rsid w:val="00332ADF"/>
    <w:rsid w:val="00383EAB"/>
    <w:rsid w:val="0039290F"/>
    <w:rsid w:val="004B3C4E"/>
    <w:rsid w:val="00526077"/>
    <w:rsid w:val="005D43D5"/>
    <w:rsid w:val="0068296C"/>
    <w:rsid w:val="00752541"/>
    <w:rsid w:val="007664A4"/>
    <w:rsid w:val="007C59F3"/>
    <w:rsid w:val="007E280D"/>
    <w:rsid w:val="008E5243"/>
    <w:rsid w:val="008E6ECB"/>
    <w:rsid w:val="0094519D"/>
    <w:rsid w:val="009B0434"/>
    <w:rsid w:val="009F0B50"/>
    <w:rsid w:val="009F3180"/>
    <w:rsid w:val="00A72620"/>
    <w:rsid w:val="00AA76B4"/>
    <w:rsid w:val="00AB3D94"/>
    <w:rsid w:val="00AC0ABC"/>
    <w:rsid w:val="00B2703A"/>
    <w:rsid w:val="00B70102"/>
    <w:rsid w:val="00BB2888"/>
    <w:rsid w:val="00C017C2"/>
    <w:rsid w:val="00C11C04"/>
    <w:rsid w:val="00C803D5"/>
    <w:rsid w:val="00CD24EC"/>
    <w:rsid w:val="00D6339D"/>
    <w:rsid w:val="00D63E5A"/>
    <w:rsid w:val="00D8125B"/>
    <w:rsid w:val="00D94D6F"/>
    <w:rsid w:val="00E02156"/>
    <w:rsid w:val="00EF1710"/>
    <w:rsid w:val="00F66375"/>
    <w:rsid w:val="00FC36BE"/>
    <w:rsid w:val="4DDE5A68"/>
    <w:rsid w:val="65769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ECD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3E5A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63E5A"/>
    <w:rPr>
      <w:color w:val="800080"/>
      <w:u w:val="single"/>
    </w:rPr>
  </w:style>
  <w:style w:type="paragraph" w:customStyle="1" w:styleId="font0">
    <w:name w:val="font0"/>
    <w:basedOn w:val="Normal"/>
    <w:rsid w:val="00D63E5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3">
    <w:name w:val="xl63"/>
    <w:basedOn w:val="Normal"/>
    <w:rsid w:val="00D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63E5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63E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63E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63E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63E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63E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63E5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63E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63E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63E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63E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Normal"/>
    <w:rsid w:val="00D63E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63E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63E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63E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63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63E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63E5A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D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63E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63E5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63E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63E5A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63E5A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63E5A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6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E5A"/>
  </w:style>
  <w:style w:type="paragraph" w:styleId="Pieddepage">
    <w:name w:val="footer"/>
    <w:basedOn w:val="Normal"/>
    <w:link w:val="PieddepageCar"/>
    <w:uiPriority w:val="99"/>
    <w:unhideWhenUsed/>
    <w:rsid w:val="00D6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E5A"/>
  </w:style>
  <w:style w:type="paragraph" w:styleId="Textedebulles">
    <w:name w:val="Balloon Text"/>
    <w:basedOn w:val="Normal"/>
    <w:link w:val="TextedebullesCar"/>
    <w:uiPriority w:val="99"/>
    <w:semiHidden/>
    <w:unhideWhenUsed/>
    <w:rsid w:val="00D6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434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A726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6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6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620"/>
    <w:rPr>
      <w:b/>
      <w:bCs/>
      <w:sz w:val="20"/>
      <w:szCs w:val="20"/>
    </w:rPr>
  </w:style>
  <w:style w:type="table" w:styleId="Grille">
    <w:name w:val="Table Grid"/>
    <w:basedOn w:val="TableauNormal"/>
    <w:rsid w:val="0068296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3E5A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63E5A"/>
    <w:rPr>
      <w:color w:val="800080"/>
      <w:u w:val="single"/>
    </w:rPr>
  </w:style>
  <w:style w:type="paragraph" w:customStyle="1" w:styleId="font0">
    <w:name w:val="font0"/>
    <w:basedOn w:val="Normal"/>
    <w:rsid w:val="00D63E5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3">
    <w:name w:val="xl63"/>
    <w:basedOn w:val="Normal"/>
    <w:rsid w:val="00D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63E5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63E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63E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63E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63E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63E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63E5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63E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63E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63E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63E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Normal"/>
    <w:rsid w:val="00D63E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63E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63E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63E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63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63E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63E5A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D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63E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63E5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63E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63E5A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63E5A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63E5A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6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E5A"/>
  </w:style>
  <w:style w:type="paragraph" w:styleId="Pieddepage">
    <w:name w:val="footer"/>
    <w:basedOn w:val="Normal"/>
    <w:link w:val="PieddepageCar"/>
    <w:uiPriority w:val="99"/>
    <w:unhideWhenUsed/>
    <w:rsid w:val="00D6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E5A"/>
  </w:style>
  <w:style w:type="paragraph" w:styleId="Textedebulles">
    <w:name w:val="Balloon Text"/>
    <w:basedOn w:val="Normal"/>
    <w:link w:val="TextedebullesCar"/>
    <w:uiPriority w:val="99"/>
    <w:semiHidden/>
    <w:unhideWhenUsed/>
    <w:rsid w:val="00D6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434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A726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6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6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620"/>
    <w:rPr>
      <w:b/>
      <w:bCs/>
      <w:sz w:val="20"/>
      <w:szCs w:val="20"/>
    </w:rPr>
  </w:style>
  <w:style w:type="table" w:styleId="Grille">
    <w:name w:val="Table Grid"/>
    <w:basedOn w:val="TableauNormal"/>
    <w:rsid w:val="0068296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7DBF-8315-2E42-8671-86FDB4A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3416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UHN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Nancy Sheehan</cp:lastModifiedBy>
  <cp:revision>2</cp:revision>
  <dcterms:created xsi:type="dcterms:W3CDTF">2019-10-01T15:50:00Z</dcterms:created>
  <dcterms:modified xsi:type="dcterms:W3CDTF">2019-10-01T15:50:00Z</dcterms:modified>
</cp:coreProperties>
</file>